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F6" w:rsidRPr="00E065F6" w:rsidRDefault="00E065F6" w:rsidP="00E0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E065F6" w:rsidRPr="00E065F6" w:rsidRDefault="00E065F6" w:rsidP="00E0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E065F6" w:rsidRPr="00E065F6" w:rsidRDefault="00E065F6" w:rsidP="00E065F6">
      <w:pPr>
        <w:keepNext/>
        <w:tabs>
          <w:tab w:val="left" w:pos="2850"/>
          <w:tab w:val="center" w:pos="4678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</w:p>
    <w:p w:rsidR="00E065F6" w:rsidRPr="00E065F6" w:rsidRDefault="00E065F6" w:rsidP="00E065F6">
      <w:pPr>
        <w:keepNext/>
        <w:tabs>
          <w:tab w:val="left" w:pos="2850"/>
          <w:tab w:val="center" w:pos="4678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E065F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E065F6" w:rsidRPr="00E065F6" w:rsidRDefault="00E065F6" w:rsidP="00E0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5F6" w:rsidRPr="00E065F6" w:rsidRDefault="00E065F6" w:rsidP="00E0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065F6" w:rsidRPr="00E065F6" w:rsidRDefault="00E065F6" w:rsidP="00E06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5F6" w:rsidRPr="008E5836" w:rsidRDefault="00E065F6" w:rsidP="00E06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22.12.2016                                                                                                  № </w:t>
      </w:r>
      <w:r w:rsidR="002B413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E065F6" w:rsidRPr="00E065F6" w:rsidRDefault="00E065F6" w:rsidP="00E06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36" w:rsidRPr="008E5836" w:rsidRDefault="00AD124E" w:rsidP="008E5836">
      <w:pPr>
        <w:pStyle w:val="ConsNormal"/>
        <w:widowControl/>
        <w:tabs>
          <w:tab w:val="left" w:pos="4253"/>
        </w:tabs>
        <w:ind w:right="4817" w:firstLine="0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8E5836" w:rsidRPr="008E5836" w:rsidRDefault="00AD124E" w:rsidP="008E5836">
      <w:pPr>
        <w:pStyle w:val="ConsNormal"/>
        <w:widowControl/>
        <w:tabs>
          <w:tab w:val="left" w:pos="4253"/>
        </w:tabs>
        <w:ind w:right="4817" w:firstLine="0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 xml:space="preserve">в решение Думы </w:t>
      </w:r>
    </w:p>
    <w:p w:rsidR="008E5836" w:rsidRPr="008E5836" w:rsidRDefault="00AD124E" w:rsidP="008E5836">
      <w:pPr>
        <w:pStyle w:val="ConsNormal"/>
        <w:widowControl/>
        <w:tabs>
          <w:tab w:val="left" w:pos="4253"/>
        </w:tabs>
        <w:ind w:right="4817" w:firstLine="0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E5836" w:rsidRPr="008E5836" w:rsidRDefault="00AD124E" w:rsidP="008E5836">
      <w:pPr>
        <w:pStyle w:val="ConsNormal"/>
        <w:widowControl/>
        <w:tabs>
          <w:tab w:val="left" w:pos="4253"/>
        </w:tabs>
        <w:ind w:right="4817" w:firstLine="0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 xml:space="preserve">от 22.12.2011 № 98 </w:t>
      </w:r>
    </w:p>
    <w:p w:rsidR="008E5836" w:rsidRPr="008E5836" w:rsidRDefault="00AD124E" w:rsidP="008E5836">
      <w:pPr>
        <w:pStyle w:val="ConsNormal"/>
        <w:widowControl/>
        <w:tabs>
          <w:tab w:val="left" w:pos="4253"/>
        </w:tabs>
        <w:ind w:right="4817" w:firstLine="0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>"Об утверждении Положения</w:t>
      </w:r>
    </w:p>
    <w:p w:rsidR="00B55787" w:rsidRPr="008E5836" w:rsidRDefault="00AD124E" w:rsidP="008E5836">
      <w:pPr>
        <w:pStyle w:val="ConsNormal"/>
        <w:widowControl/>
        <w:tabs>
          <w:tab w:val="left" w:pos="4253"/>
        </w:tabs>
        <w:ind w:right="4817" w:firstLine="0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>об отчетах органов местного самоуправления и должностных лиц местного самоуправления Ханты-Мансийского района"</w:t>
      </w:r>
    </w:p>
    <w:p w:rsidR="00001CFC" w:rsidRPr="008E5836" w:rsidRDefault="00001CFC" w:rsidP="00001CF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5836" w:rsidRPr="008E5836" w:rsidRDefault="00AD124E" w:rsidP="00001CF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ab/>
        <w:t>В целях приведения муниципальных правовых актов в соответствие</w:t>
      </w:r>
    </w:p>
    <w:p w:rsidR="00DF4DDE" w:rsidRPr="008E5836" w:rsidRDefault="00AD124E" w:rsidP="00001CF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Федерации, руководствуясь статьей 35 Федерального закона от 06.10.2003 № 131-ФЗ "Об общих принципах организации местного самоуправления в Российской Федерации", статьями 18, 23, 50 Устава Ханты-Мансийского района</w:t>
      </w:r>
      <w:r w:rsidR="00001CFC" w:rsidRPr="008E5836">
        <w:rPr>
          <w:rFonts w:ascii="Times New Roman" w:hAnsi="Times New Roman" w:cs="Times New Roman"/>
          <w:sz w:val="28"/>
          <w:szCs w:val="28"/>
        </w:rPr>
        <w:t>,</w:t>
      </w:r>
    </w:p>
    <w:p w:rsidR="00B55787" w:rsidRPr="008E5836" w:rsidRDefault="00B55787" w:rsidP="00B5578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F4DDE" w:rsidRPr="008E5836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DF4DDE" w:rsidRPr="008E5836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4DDE" w:rsidRPr="008E5836" w:rsidRDefault="00DF4DDE" w:rsidP="00DF4DDE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83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55787" w:rsidRPr="008E5836" w:rsidRDefault="00B55787" w:rsidP="00B5578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5787" w:rsidRPr="008E5836" w:rsidRDefault="00001CFC" w:rsidP="00001CFC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>Внести в решение Думы Ханты-Мансийского района от 22.12.2011</w:t>
      </w:r>
      <w:r w:rsidR="008E5836" w:rsidRPr="008E583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5836">
        <w:rPr>
          <w:rFonts w:ascii="Times New Roman" w:hAnsi="Times New Roman" w:cs="Times New Roman"/>
          <w:sz w:val="28"/>
          <w:szCs w:val="28"/>
        </w:rPr>
        <w:t xml:space="preserve"> № 98 "Об утверждении Положения об отчетах органов местного самоуправления и должностных лиц местного самоуправления Ханты-Мансийского района" изменения, изложив приложение к нему в редакции согласно приложению к настоящему решению.</w:t>
      </w:r>
    </w:p>
    <w:p w:rsidR="00001CFC" w:rsidRPr="008E5836" w:rsidRDefault="00001CFC" w:rsidP="00001CFC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E5836" w:rsidRPr="008E5836" w:rsidRDefault="008E5836" w:rsidP="008E58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836" w:rsidRPr="008E5836" w:rsidRDefault="008E5836" w:rsidP="008E58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5836" w:rsidRPr="008E5836" w:rsidRDefault="008E5836" w:rsidP="008E58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</w:p>
    <w:p w:rsidR="008E5836" w:rsidRPr="008E5836" w:rsidRDefault="008E5836" w:rsidP="008E58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района                                                        К.Р. </w:t>
      </w:r>
      <w:proofErr w:type="spellStart"/>
      <w:r w:rsidRPr="008E5836">
        <w:rPr>
          <w:rFonts w:ascii="Times New Roman" w:eastAsia="Calibri" w:hAnsi="Times New Roman" w:cs="Times New Roman"/>
          <w:sz w:val="28"/>
          <w:szCs w:val="28"/>
          <w:lang w:eastAsia="ru-RU"/>
        </w:rPr>
        <w:t>Минулин</w:t>
      </w:r>
      <w:proofErr w:type="spellEnd"/>
    </w:p>
    <w:p w:rsidR="008E5836" w:rsidRPr="008E5836" w:rsidRDefault="002B413C" w:rsidP="008E58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26.12.2016</w:t>
      </w:r>
    </w:p>
    <w:p w:rsidR="008E5836" w:rsidRPr="008E5836" w:rsidRDefault="008E5836" w:rsidP="008E58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36" w:rsidRPr="008E5836" w:rsidRDefault="008E5836" w:rsidP="008E58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36" w:rsidRPr="008E5836" w:rsidRDefault="008E5836" w:rsidP="008E58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36" w:rsidRPr="008E5836" w:rsidRDefault="008E5836" w:rsidP="008E58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E5836" w:rsidRPr="008E5836" w:rsidRDefault="008E5836" w:rsidP="008E5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</w:p>
    <w:p w:rsidR="008E5836" w:rsidRPr="008E5836" w:rsidRDefault="008E5836" w:rsidP="008E58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001CFC" w:rsidRPr="008E5836" w:rsidRDefault="008E5836" w:rsidP="008E5836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5836">
        <w:rPr>
          <w:rFonts w:ascii="Times New Roman" w:hAnsi="Times New Roman" w:cs="Times New Roman"/>
          <w:sz w:val="28"/>
          <w:szCs w:val="28"/>
        </w:rPr>
        <w:t>от 22.12.2016 №</w:t>
      </w:r>
      <w:r w:rsidR="002B413C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001CFC" w:rsidRPr="008E5836" w:rsidRDefault="00001CFC" w:rsidP="00001CFC">
      <w:pPr>
        <w:pStyle w:val="ConsNormal"/>
        <w:widowControl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1CFC" w:rsidRPr="008E5836" w:rsidRDefault="00001CFC" w:rsidP="008E5836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 Думы Ханты-Мансийского района от 22.12.2011 № 98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отчетах органов местного самоуправления и должностных лиц местного самоуправления Ханты-Мансийского района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001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цели и основные понятия</w:t>
      </w:r>
    </w:p>
    <w:p w:rsidR="00001CFC" w:rsidRPr="008E5836" w:rsidRDefault="00001CFC" w:rsidP="009B61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об отчетах органов местного самоуправления и должностных лиц местного самоуправления Ханты-Мансийского района (далее по тексту – Положение) определяет порядок и сроки предоставления, рассмотрения и утверждения, опубликования (обнародования) отчетов о деятельности Думы Ханты-Мансийского района (далее по тексту – Дума района), депутата Думы Ханты-Мансийского района (далее по тексту – депутат), ежегодн</w:t>
      </w:r>
      <w:r w:rsidR="00A84C93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="00A84C93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Ханты-Мансийского района (далее по тексту – глава района) и администрации Ханты-Мансийского района (далее по тексту – администрация района) о результатах </w:t>
      </w:r>
      <w:r w:rsidR="00A84C93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за отчетный период, в том числе о решении вопросов, поставленных Думой района перед главой района, ежегодного отчета контрольно-счетной палаты Ханты-Мансийского района (далее по тексту – контрольно-счетная палата района), а также их структуру и содержание.</w:t>
      </w:r>
    </w:p>
    <w:p w:rsidR="00001CFC" w:rsidRPr="008E5836" w:rsidRDefault="00001CFC" w:rsidP="009B61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настоящего Положения является реализация исключительной компетенции Думы района по контролю за исполнением органами местного самоуправления и должностными лицами местного самоуправления Ханты-Мансийского района полномочий по решению вопросов местного значения, а также обобщение и обнародование такой информации перед населением Ханты-Мансийского района.</w:t>
      </w:r>
    </w:p>
    <w:p w:rsidR="00001CFC" w:rsidRPr="008E5836" w:rsidRDefault="00C23A09" w:rsidP="009B61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 Положению</w:t>
      </w:r>
      <w:r w:rsidR="00001CFC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вопросом, поставленным перед главой района Думой района, понимается оформленный и принятый в установленном порядке депутатский запрос или поручение Думы района, направленное главе района в соответствии с его полномочиями и (или) полномочиями администрации района.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001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отчетов органов местного самоуправления и должностных лиц.</w:t>
      </w:r>
    </w:p>
    <w:p w:rsidR="00001CFC" w:rsidRPr="008E5836" w:rsidRDefault="00001CFC" w:rsidP="00001C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подготовки отчетов органов местного самоуправления и должностных лиц местного самоуправления, в том числе анализ и обобщение информации, его формирование, определение ответственных лиц определяется органами местного самоуправления и должностными лицами местного самоуправления самостоятельно.</w:t>
      </w:r>
    </w:p>
    <w:p w:rsidR="00001CFC" w:rsidRPr="008E5836" w:rsidRDefault="00001CFC" w:rsidP="00001CF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должностные лица, в целях подготовки отчетов, вправе обмениваться имеющейся у них информацией.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Отчет о деятельности Думы Ханты-Мансийского района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001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содержание отчета о деятельности Думы района </w:t>
      </w:r>
    </w:p>
    <w:p w:rsidR="00001CFC" w:rsidRPr="008E5836" w:rsidRDefault="00001CFC" w:rsidP="009B612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Думы района (далее – по тексту отчет Думы района) представляет собой итоговую информацию по основным направлениям деятельности Думы района за календарный год, в соответствии с полномочиями Думы района.</w:t>
      </w:r>
    </w:p>
    <w:p w:rsidR="00001CFC" w:rsidRPr="008E5836" w:rsidRDefault="00001CFC" w:rsidP="009B612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Думы района должен содержать следующую информацию:</w:t>
      </w:r>
    </w:p>
    <w:p w:rsidR="00001CFC" w:rsidRPr="008E5836" w:rsidRDefault="00001CFC" w:rsidP="009B61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проведенных заседаниях и принятых решениях Думы района;</w:t>
      </w:r>
    </w:p>
    <w:p w:rsidR="00001CFC" w:rsidRPr="008E5836" w:rsidRDefault="00001CFC" w:rsidP="009B61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-о деятельности постоянных и временных комиссий;</w:t>
      </w:r>
    </w:p>
    <w:p w:rsidR="009B6122" w:rsidRPr="008E5836" w:rsidRDefault="009B6122" w:rsidP="009B61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-о деятельности председателя Думы района;</w:t>
      </w:r>
    </w:p>
    <w:p w:rsidR="00001CFC" w:rsidRPr="008E5836" w:rsidRDefault="00001CFC" w:rsidP="009B61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-о контрольной деятельности Думы района;</w:t>
      </w:r>
    </w:p>
    <w:p w:rsidR="00001CFC" w:rsidRPr="008E5836" w:rsidRDefault="00001CFC" w:rsidP="009B61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поручениях Думы района, депутатских запросах и их исполнении;</w:t>
      </w:r>
    </w:p>
    <w:p w:rsidR="00001CFC" w:rsidRPr="008E5836" w:rsidRDefault="00001CFC" w:rsidP="009B61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-обобщенные св</w:t>
      </w:r>
      <w:r w:rsidR="00C23A09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о деятельности депутатов.</w:t>
      </w:r>
    </w:p>
    <w:p w:rsidR="00001CFC" w:rsidRPr="008E5836" w:rsidRDefault="00001CFC" w:rsidP="009B612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Думы района могут прилагаться графики, диаграммы, таблицы и другие формы информации, которые являются неотъемлемой частью отчета.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001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предоставление отчета Думы района</w:t>
      </w:r>
    </w:p>
    <w:p w:rsidR="00001CFC" w:rsidRPr="008E5836" w:rsidRDefault="00001CFC" w:rsidP="009B61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отчета Думы района обеспечивается </w:t>
      </w:r>
      <w:r w:rsidR="00A94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9B6122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ателем</w:t>
      </w:r>
      <w:proofErr w:type="spellEnd"/>
      <w:r w:rsidR="009B6122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аппаратом Думы района.</w:t>
      </w:r>
    </w:p>
    <w:p w:rsidR="00001CFC" w:rsidRPr="008E5836" w:rsidRDefault="00001CFC" w:rsidP="009B61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Думы района представляется </w:t>
      </w:r>
      <w:r w:rsidR="009B6122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Думы района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Думу района не позднее 1 марта года, следующего за истекшим, в форме проекта решения Думы района, с соблюдением требований к структуре и содержанию, установленных Положением о порядке внесения проектов муниципальных правовых актов в Думу района.</w:t>
      </w:r>
    </w:p>
    <w:p w:rsidR="00001CFC" w:rsidRPr="008E5836" w:rsidRDefault="00001CFC" w:rsidP="009B61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в Думу района отчет Думы района направляется в электронном виде депутатам для ознакомления.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001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отчета Думы района на заседании Думы района</w:t>
      </w:r>
    </w:p>
    <w:p w:rsidR="00001CFC" w:rsidRPr="008E5836" w:rsidRDefault="00001CFC" w:rsidP="00A354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района не позднее </w:t>
      </w:r>
      <w:r w:rsidR="00A354F5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4F5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истекшим, рассматривает на своем заседании отчет о своей деятельности.</w:t>
      </w:r>
    </w:p>
    <w:p w:rsidR="00001CFC" w:rsidRPr="008E5836" w:rsidRDefault="00001CFC" w:rsidP="00A354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отчета о своей деятельности Дума района заслушивает </w:t>
      </w:r>
      <w:r w:rsidR="00A354F5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 района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докладчика.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001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и опубликование (обнародование) отчета Думы района</w:t>
      </w:r>
    </w:p>
    <w:p w:rsidR="00001CFC" w:rsidRPr="008E5836" w:rsidRDefault="00001CFC" w:rsidP="00A354F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Думы района утверждается решением Думы района.</w:t>
      </w:r>
    </w:p>
    <w:p w:rsidR="00001CFC" w:rsidRPr="008E5836" w:rsidRDefault="00001CFC" w:rsidP="00A354F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района об отчете Думы района, в течение 10 дней с момента принятия, подлежит официальному опубликованию (обнародованию), а также размещению в сети "Интернет" на официальном сайте органов местного самоуправления Ханты-Мансийского района.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3. Отчет о деятельности депутата Думы Ханты-Мансийского района 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001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содержание отчета депутата </w:t>
      </w:r>
    </w:p>
    <w:p w:rsidR="00001CFC" w:rsidRPr="008E5836" w:rsidRDefault="00001CFC" w:rsidP="00A354F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депутата - официальное выступление депутата перед населением своего избирательного округа, после которого подводятся итоги его работы за календарный год и даётся оценка ему со стороны его избирателей.</w:t>
      </w:r>
    </w:p>
    <w:p w:rsidR="00001CFC" w:rsidRPr="008E5836" w:rsidRDefault="00001CFC" w:rsidP="00A354F5">
      <w:pPr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Calibri" w:hAnsi="Times New Roman" w:cs="Times New Roman"/>
          <w:sz w:val="28"/>
          <w:szCs w:val="28"/>
          <w:lang w:eastAsia="ru-RU"/>
        </w:rPr>
        <w:t>Отчет должен включать в себя следующую информацию:</w:t>
      </w:r>
    </w:p>
    <w:p w:rsidR="00001CFC" w:rsidRPr="008E5836" w:rsidRDefault="00001CFC" w:rsidP="00A354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предвыборной программы депутата;</w:t>
      </w:r>
    </w:p>
    <w:p w:rsidR="00001CFC" w:rsidRPr="008E5836" w:rsidRDefault="00001CFC" w:rsidP="00A354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депутата в заседаниях Думы района и комиссиях Думы района;</w:t>
      </w:r>
    </w:p>
    <w:p w:rsidR="00001CFC" w:rsidRPr="008E5836" w:rsidRDefault="00001CFC" w:rsidP="00A354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поручений Думы района, комиссий Думы района;</w:t>
      </w:r>
    </w:p>
    <w:p w:rsidR="00001CFC" w:rsidRPr="008E5836" w:rsidRDefault="00001CFC" w:rsidP="00A354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депутатских слушаниях;</w:t>
      </w:r>
    </w:p>
    <w:p w:rsidR="00001CFC" w:rsidRPr="008E5836" w:rsidRDefault="00001CFC" w:rsidP="00A354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 избирателями, в том числе сведения о выполнении предложений и наказов избирателей Ханты-Мансийского района, проведении отчетов и встреч с избирателями, о принятии граждан по личным вопросам, о рассмотрении писем и обращений, заявлений граждан;</w:t>
      </w:r>
    </w:p>
    <w:p w:rsidR="00001CFC" w:rsidRPr="008E5836" w:rsidRDefault="00001CFC" w:rsidP="00A354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-направление депутатских запросов, обращений;</w:t>
      </w:r>
    </w:p>
    <w:p w:rsidR="00001CFC" w:rsidRPr="008E5836" w:rsidRDefault="00001CFC" w:rsidP="00A354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-взаимодействие с органами местного самоуправления, государственными органами власти, должностными лицами, организациями, учреждениями;</w:t>
      </w:r>
    </w:p>
    <w:p w:rsidR="00001CFC" w:rsidRPr="008E5836" w:rsidRDefault="00001CFC" w:rsidP="00A354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-правотворческая инициатива депутата;</w:t>
      </w:r>
    </w:p>
    <w:p w:rsidR="00001CFC" w:rsidRPr="008E5836" w:rsidRDefault="00001CFC" w:rsidP="00A354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со средствами массовой информации;</w:t>
      </w:r>
    </w:p>
    <w:p w:rsidR="00001CFC" w:rsidRPr="008E5836" w:rsidRDefault="00001CFC" w:rsidP="00A354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-другие сведения о деятельности депутата.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001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предоставления отчета о деятельности депутата</w:t>
      </w:r>
    </w:p>
    <w:p w:rsidR="00001CFC" w:rsidRPr="008E5836" w:rsidRDefault="00001CFC" w:rsidP="00A354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не реже одного раза в год обязан отчитываться перед избирателями о своей работе в качестве депутата.</w:t>
      </w:r>
    </w:p>
    <w:p w:rsidR="00001CFC" w:rsidRPr="008E5836" w:rsidRDefault="00001CFC" w:rsidP="00A354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деятельности депутата оформляется в произвольной форме, в виде отчетного документа, подписываемого депутатом и направляется им в Думу района не позднее </w:t>
      </w:r>
      <w:r w:rsidR="003376EE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года, следующего за истекшим, для обобщения и обнародования информации.</w:t>
      </w:r>
    </w:p>
    <w:p w:rsidR="00001CFC" w:rsidRPr="008E5836" w:rsidRDefault="00001CFC" w:rsidP="00A354F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отчетности перед избирателями депутат вправе пригласить руководителей органов местного самоуправления Ханты-Мансийского 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района, их отраслевых (функциональных) органов, муниципальных предприятий, учреждений и организаций.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001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опубликование (обнародование) информации о деятельности депутата</w:t>
      </w:r>
    </w:p>
    <w:p w:rsidR="00001CFC" w:rsidRPr="008E5836" w:rsidRDefault="00001CFC" w:rsidP="00A354F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деятельности депутата в виде отчетного документа размещается в сети "Интернет" на официальном сайте органов местного самоуправления Ханты-Мансийского района.</w:t>
      </w:r>
    </w:p>
    <w:p w:rsidR="00001CFC" w:rsidRPr="008E5836" w:rsidRDefault="00001CFC" w:rsidP="00A354F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 деятельности депутатов </w:t>
      </w:r>
      <w:proofErr w:type="gramStart"/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обобщаются Думой района и опубликовываются</w:t>
      </w:r>
      <w:proofErr w:type="gramEnd"/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(обнародуются) одновременно с отчетом Думы района в примерной форме, согласно приложению к настоящему Положению.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5. Ежегодный отчет главы </w:t>
      </w:r>
      <w:r w:rsidR="001C4629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62688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ежегодного отчета главы района</w:t>
      </w:r>
    </w:p>
    <w:p w:rsidR="00001CFC" w:rsidRPr="008E5836" w:rsidRDefault="00001CFC" w:rsidP="0062688A">
      <w:pPr>
        <w:numPr>
          <w:ilvl w:val="0"/>
          <w:numId w:val="16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главы района представляет собой итоговую информацию о результатах деятельности главы района и администрации района за прошедший календарный год, в соответствии с полномочиями, установленными действующим законодательством Российской Федерации, в том числе о решении вопросов, поставленных Думой района (далее по тексту – отчет главы района), которая заслушивается Думой района.</w:t>
      </w:r>
    </w:p>
    <w:p w:rsidR="00001CFC" w:rsidRPr="008E5836" w:rsidRDefault="00001CFC" w:rsidP="0062688A">
      <w:pPr>
        <w:numPr>
          <w:ilvl w:val="0"/>
          <w:numId w:val="16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главы района должен содержать следующую информацию:</w:t>
      </w:r>
    </w:p>
    <w:p w:rsidR="001C4629" w:rsidRPr="008E5836" w:rsidRDefault="001C4629" w:rsidP="0062688A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осуществлении полномочий главы района, как высшего должностного лица;</w:t>
      </w:r>
    </w:p>
    <w:p w:rsidR="001C4629" w:rsidRPr="008E5836" w:rsidRDefault="001C4629" w:rsidP="0062688A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результатах деятельности Совета при главе района и иных совещательных органов при главе района;</w:t>
      </w:r>
    </w:p>
    <w:p w:rsidR="00001CFC" w:rsidRPr="008E5836" w:rsidRDefault="00001CFC" w:rsidP="0062688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участии</w:t>
      </w:r>
      <w:r w:rsidR="001C4629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установленных полномочий, в решении каждого из вопросов местного значения Ханты-Мансийского района, установленных Федеральным законом от 06.10.2003 № 131-ФЗ </w:t>
      </w:r>
      <w:r w:rsidR="001C4629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1C4629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Федерации"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CFC" w:rsidRPr="008E5836" w:rsidRDefault="00001CFC" w:rsidP="0062688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участии</w:t>
      </w:r>
      <w:r w:rsidR="00C23A09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688A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установленных полномочий, в решении вопросов, не отнесенных к вопросам местного значения и предусмотренных федеральными законами, законами Ханты-Мансийского автономного округа – Югры;</w:t>
      </w:r>
    </w:p>
    <w:p w:rsidR="00001CFC" w:rsidRPr="008E5836" w:rsidRDefault="00001CFC" w:rsidP="0062688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участии в осуществлении отдельных государственных полномочий;</w:t>
      </w:r>
    </w:p>
    <w:p w:rsidR="00001CFC" w:rsidRPr="008E5836" w:rsidRDefault="00001CFC" w:rsidP="0062688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показателях финансово-хозяйственной деятельности муниципальных предприятий и учреждений, перспективах их развития;</w:t>
      </w:r>
    </w:p>
    <w:p w:rsidR="00001CFC" w:rsidRPr="008E5836" w:rsidRDefault="00001CFC" w:rsidP="0062688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об участии муниципального образования в хозяйственных обществах (акционерных, с ограниченной ответственностью и т.п.);</w:t>
      </w:r>
    </w:p>
    <w:p w:rsidR="00001CFC" w:rsidRPr="008E5836" w:rsidRDefault="00001CFC" w:rsidP="0062688A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принятых, действующих и исполненных </w:t>
      </w:r>
      <w:r w:rsidR="0062688A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программах,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ведомственных программах, а также о ходе их реализации;</w:t>
      </w:r>
    </w:p>
    <w:p w:rsidR="00001CFC" w:rsidRPr="008E5836" w:rsidRDefault="00001CFC" w:rsidP="0062688A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характеристики бюджета Ханты-Мансийского района, включая его формирование и исполнение;</w:t>
      </w:r>
    </w:p>
    <w:p w:rsidR="00001CFC" w:rsidRPr="008E5836" w:rsidRDefault="00001CFC" w:rsidP="0062688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направления социально-экономического развития Ханты-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Мансийского района на период, следующий за отчетным, сформулированные на основе анализа деятельности за предыдущий период;</w:t>
      </w:r>
    </w:p>
    <w:p w:rsidR="00001CFC" w:rsidRPr="008E5836" w:rsidRDefault="00001CFC" w:rsidP="0062688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исполнении полномочий в рамках заключенных соглашений с органами местного самоуправления отдельных поселений, входящих в состав Ханты-Мансийского района;</w:t>
      </w:r>
    </w:p>
    <w:p w:rsidR="00001CFC" w:rsidRPr="008E5836" w:rsidRDefault="00001CFC" w:rsidP="0062688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решении вопросов, поставленных Думой района за отчетный период;</w:t>
      </w:r>
    </w:p>
    <w:p w:rsidR="00001CFC" w:rsidRPr="008E5836" w:rsidRDefault="00001CFC" w:rsidP="0062688A">
      <w:pPr>
        <w:tabs>
          <w:tab w:val="left" w:pos="-142"/>
          <w:tab w:val="left" w:pos="0"/>
        </w:tabs>
        <w:spacing w:after="0" w:line="240" w:lineRule="auto"/>
        <w:ind w:left="426" w:right="-2" w:hanging="14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 привлечении средств из федерального бюджета и бюджета Ханты-Мансийского автономного округа - Югры (межбюджетные трансферты), их освоении, объемах возвращенных неизрасходованных средств;</w:t>
      </w:r>
    </w:p>
    <w:p w:rsidR="00001CFC" w:rsidRPr="008E5836" w:rsidRDefault="00001CFC" w:rsidP="0062688A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 поданных за отчетный период заявках на предоставление субсидий из бюджета автономного округа на </w:t>
      </w:r>
      <w:proofErr w:type="spellStart"/>
      <w:r w:rsidRPr="008E5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8E5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 капитального строительства Ханты-Мансийского района, в рамках участия в Адресной инвестиционной программе Ханты-Мансийского автономного округа - Югры, их удовлетворении или отклонении.</w:t>
      </w:r>
    </w:p>
    <w:p w:rsidR="00001CFC" w:rsidRPr="008E5836" w:rsidRDefault="00001CFC" w:rsidP="0062688A">
      <w:pPr>
        <w:numPr>
          <w:ilvl w:val="0"/>
          <w:numId w:val="16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представленная в отчете главы района, должна сопровождаться сведениями об анализе и состоянии каждой из отраслей экономики и социальной сферы района, тенденциях их развития, динамике процессов (как положительной, так и отрицательной), степени и механизмах управленческого воздействия на субъекты системы, отрасли, количественными и качественными показателями, а также статистическими данными.</w:t>
      </w:r>
    </w:p>
    <w:p w:rsidR="00001CFC" w:rsidRPr="008E5836" w:rsidRDefault="00001CFC" w:rsidP="0062688A">
      <w:pPr>
        <w:numPr>
          <w:ilvl w:val="0"/>
          <w:numId w:val="16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главы района могут прилагаться графики, расчеты, диаграммы, таблицы и другие формы информации, которые являются неотъемлемой частью отчета. Текст отчета должен содержать ссылки на все приложения к нему.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E378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32"/>
          <w:lang w:eastAsia="ru-RU"/>
        </w:rPr>
        <w:t>Порядок и сроки предоставления отчета главы района</w:t>
      </w:r>
    </w:p>
    <w:p w:rsidR="00001CFC" w:rsidRPr="008E5836" w:rsidRDefault="00001CFC" w:rsidP="00E3787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32"/>
          <w:lang w:eastAsia="ru-RU"/>
        </w:rPr>
        <w:t>Отчет главы района представляется главой рай</w:t>
      </w:r>
      <w:r w:rsidR="00E3787E" w:rsidRPr="008E583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она в Думу района не позднее </w:t>
      </w:r>
      <w:r w:rsidR="00384051" w:rsidRPr="008E5836">
        <w:rPr>
          <w:rFonts w:ascii="Times New Roman" w:eastAsia="Times New Roman" w:hAnsi="Times New Roman" w:cs="Times New Roman"/>
          <w:sz w:val="28"/>
          <w:szCs w:val="32"/>
          <w:lang w:eastAsia="ru-RU"/>
        </w:rPr>
        <w:t>20</w:t>
      </w:r>
      <w:r w:rsidR="00E3787E" w:rsidRPr="008E583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384051" w:rsidRPr="008E5836">
        <w:rPr>
          <w:rFonts w:ascii="Times New Roman" w:eastAsia="Times New Roman" w:hAnsi="Times New Roman" w:cs="Times New Roman"/>
          <w:sz w:val="28"/>
          <w:szCs w:val="32"/>
          <w:lang w:eastAsia="ru-RU"/>
        </w:rPr>
        <w:t>апреля</w:t>
      </w:r>
      <w:r w:rsidRPr="008E583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года, следующего за истекшим, в форме проекта решения Думы района, с соблюдением требований к структуре и содержанию, установленных Положением о порядке внесения проектов муниципальных правовых актов в Думу Ханты-Мансийского района. Отчет главы района подписывается главой района.</w:t>
      </w:r>
    </w:p>
    <w:p w:rsidR="00001CFC" w:rsidRPr="008E5836" w:rsidRDefault="00001CFC" w:rsidP="00E3787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в Думу района отчет главы района направляется в электронном виде депутатам для ознакомления.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001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заслушивание отчета главы района в Думе района</w:t>
      </w:r>
    </w:p>
    <w:p w:rsidR="00001CFC" w:rsidRPr="008E5836" w:rsidRDefault="00001CFC" w:rsidP="00E3787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главы района предварительно заслушивается на совместном заседании</w:t>
      </w:r>
      <w:r w:rsidR="00E3787E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постоянных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Думы района.</w:t>
      </w:r>
    </w:p>
    <w:p w:rsidR="00001CFC" w:rsidRPr="008E5836" w:rsidRDefault="00001CFC" w:rsidP="00E3787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предварительного заслушивания отчета главы района депутатами могут быть заданы дополнительные вопросы главе района.</w:t>
      </w:r>
    </w:p>
    <w:p w:rsidR="00001CFC" w:rsidRPr="008E5836" w:rsidRDefault="00001CFC" w:rsidP="00E3787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предварительного заслушивания отчета главы района аппаратом Думы района ведется протокол, отражающий ход заседания и вопросы депутатов о деятельности главы района и администрации района, ответы на которые заслушиваются при рассмотрении отчета главы района.</w:t>
      </w:r>
    </w:p>
    <w:p w:rsidR="00001CFC" w:rsidRPr="008E5836" w:rsidRDefault="00001CFC" w:rsidP="00E378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001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отчета главы района на заседании Думы района</w:t>
      </w:r>
    </w:p>
    <w:p w:rsidR="00001CFC" w:rsidRPr="008E5836" w:rsidRDefault="00001CFC" w:rsidP="0015346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района не позднее </w:t>
      </w:r>
      <w:r w:rsidR="00384051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истекшим, рассматривает на своем заседании отчет главы района.</w:t>
      </w:r>
    </w:p>
    <w:p w:rsidR="00001CFC" w:rsidRPr="008E5836" w:rsidRDefault="00001CFC" w:rsidP="0015346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отчета главы района Дума района заслушивает главу района в качестве докладчика. В день заседания Думы района, на котором заслушивается отчет главы района, доклад главы района включает ответы на дополнительные вопросы, заданные на предварительном заслушивании отчета главы района.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001C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опубликование (обнародование) отчета главы района</w:t>
      </w:r>
    </w:p>
    <w:p w:rsidR="00001CFC" w:rsidRPr="008E5836" w:rsidRDefault="00001CFC" w:rsidP="0015346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главы района утверждается решением Думы района, которым деятельность главы района и администрации района признается удовлетворительной или неудовлетворительной.</w:t>
      </w:r>
    </w:p>
    <w:p w:rsidR="00001CFC" w:rsidRPr="008E5836" w:rsidRDefault="00001CFC" w:rsidP="0015346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района о ежегодном отчете главы района перед Думой района о результатах своей деятельности и деятельности района, в том числе о решении вопросов, поставленных Думой района, в течение 10 дней с момента принятия, подлежит официальному опубликованию (обнародованию), а также размещению в сети "Интернет" на официальном сайте органов местного самоуправления Ханты-Мансийского района.</w:t>
      </w:r>
      <w:r w:rsidRPr="008E5836" w:rsidDel="005F4B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6. Ежегодный отчет о деятельности контрольно-счетной палаты района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384051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и содержание ежегодного отчета о деятельности контрольно-счетной палаты района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1D2B18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о деятельности контрольно-счетной палаты района (далее – отчет контрольно-счетной палаты района) представляет собой итоговую информацию о результатах деятельности контрольно-счетной палаты района за прошедший календарный год, в соответствии с полномочиями контрольно-счетной палаты района.</w:t>
      </w:r>
    </w:p>
    <w:p w:rsidR="00001CFC" w:rsidRPr="008E5836" w:rsidRDefault="00001CFC" w:rsidP="001D2B18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контрольно-счетной палаты района должен содержать следующую информацию:</w:t>
      </w:r>
    </w:p>
    <w:p w:rsidR="00001CFC" w:rsidRPr="008E5836" w:rsidRDefault="00001CFC" w:rsidP="001D2B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исполнении плана работы контрольно-счетной палаты района;</w:t>
      </w:r>
    </w:p>
    <w:p w:rsidR="00001CFC" w:rsidRPr="008E5836" w:rsidRDefault="00001CFC" w:rsidP="001D2B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 исполнении поручений Думы района;</w:t>
      </w:r>
    </w:p>
    <w:p w:rsidR="00001CFC" w:rsidRPr="008E5836" w:rsidRDefault="00001CFC" w:rsidP="001D2B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рассмотрении предложений и запросов главы района;</w:t>
      </w:r>
    </w:p>
    <w:p w:rsidR="00001CFC" w:rsidRPr="008E5836" w:rsidRDefault="00001CFC" w:rsidP="001D2B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 результатах деятельности в рамках соглашений о передаче полномочий </w:t>
      </w:r>
      <w:r w:rsidRPr="008E5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контрольно-счетных органов сельских поселений по осуществлению внешнего муниципального финансового контроля;</w:t>
      </w:r>
    </w:p>
    <w:p w:rsidR="00001CFC" w:rsidRPr="008E5836" w:rsidRDefault="00001CFC" w:rsidP="001D2B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о результатах экспертизы проекта местного бюджета и 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 проверки годового отчета об исполнении местного бюджета</w:t>
      </w:r>
      <w:r w:rsidRPr="008E5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01CFC" w:rsidRPr="008E5836" w:rsidRDefault="00001CFC" w:rsidP="001D2B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проведенных контрольных мероприятиях;</w:t>
      </w:r>
    </w:p>
    <w:p w:rsidR="00001CFC" w:rsidRPr="008E5836" w:rsidRDefault="00001CFC" w:rsidP="001D2B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проведенных экспертно-аналитических мероприятиях.</w:t>
      </w:r>
    </w:p>
    <w:p w:rsidR="00001CFC" w:rsidRPr="008E5836" w:rsidRDefault="00001CFC" w:rsidP="001D2B18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контрольно-счетной палаты района могут прилагаться графики, диаграммы, таблицы и другие формы информации, которые являются неотъемлемой частью отчета.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384051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и предоставление отчета контрольно-счетной палаты района</w:t>
      </w:r>
    </w:p>
    <w:p w:rsidR="00001CFC" w:rsidRPr="008E5836" w:rsidRDefault="00001CFC" w:rsidP="001D2B1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контрольно-счетной палаты района представляется в Думу района не позднее 1 марта года, следующего за истекшим, в форме проекта решения Думы района, с соблюдением требований к структуре и содержанию, установленных Положением о порядке внесения проектов муниципальных правовых актов в Думу района.</w:t>
      </w:r>
    </w:p>
    <w:p w:rsidR="001D2B18" w:rsidRPr="008E5836" w:rsidRDefault="001D2B18" w:rsidP="001D2B18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в Думу района отчет контрольно-счетной палаты района направляется в электронном виде депутатам для ознакомления.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384051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Предварительное заслушивание отчета контрольно-счетной палаты района в Думе района</w:t>
      </w:r>
    </w:p>
    <w:p w:rsidR="00001CFC" w:rsidRPr="008E5836" w:rsidRDefault="00001CFC" w:rsidP="004123F3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контрольно-счетной палаты района предварительно заслушивается на совместном заседании</w:t>
      </w:r>
      <w:r w:rsidR="00E3787E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постоянных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Думы района.</w:t>
      </w:r>
    </w:p>
    <w:p w:rsidR="004123F3" w:rsidRPr="008E5836" w:rsidRDefault="004123F3" w:rsidP="004123F3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докладчика по отчету контрольно-счетной палаты выступает председатель контрольно-счетной палаты района.</w:t>
      </w:r>
    </w:p>
    <w:p w:rsidR="00001CFC" w:rsidRPr="008E5836" w:rsidRDefault="00001CFC" w:rsidP="004123F3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предварительного заслушивания отчета контрольно-счетной палаты района депутатами могут быть заданы дополнительные вопросы председателю контрольно-счетной палаты района.</w:t>
      </w:r>
    </w:p>
    <w:p w:rsidR="004123F3" w:rsidRPr="008E5836" w:rsidRDefault="004123F3" w:rsidP="004123F3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предварительного заслушивания отчета контрольно-счетной палаты района аппаратом Думы района ведется протокол, отражающий ход заседания и вопросы депутатов о деятельности контрольно-счетной палаты района, ответы на которые заслушиваются при рассмотрении отчета контрольно-счетной палаты района.</w:t>
      </w: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384051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отчета контрольно-счетной палаты района на заседании Думы района</w:t>
      </w:r>
    </w:p>
    <w:p w:rsidR="00001CFC" w:rsidRPr="008E5836" w:rsidRDefault="00001CFC" w:rsidP="004123F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района не позднее </w:t>
      </w:r>
      <w:r w:rsidR="004123F3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F3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истекшим, рассматривает на своем заседании отчет контрольно-счетной палаты района.</w:t>
      </w:r>
    </w:p>
    <w:p w:rsidR="00001CFC" w:rsidRPr="008E5836" w:rsidRDefault="00001CFC" w:rsidP="004123F3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отчета контрольно-счетной палаты района Дума района заслушивает председателя контрольно-счетной палаты района в качестве докладчика. В день заседания Думы района, на котором заслушивается отчет контрольно-счетной палаты района, доклад председателя контрольно-счетной палаты района включает ответы на 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дополнительные вопросы, заданные при предварительном заслушивании отчета контрольно-счетной палаты района.</w:t>
      </w:r>
    </w:p>
    <w:p w:rsidR="00001CFC" w:rsidRPr="008E5836" w:rsidRDefault="00001CFC" w:rsidP="00001C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FC" w:rsidRPr="008E5836" w:rsidRDefault="00001CFC" w:rsidP="00001CF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384051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F310E"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и опубликование (обнародование) отчета контрольно-счетной палаты района</w:t>
      </w:r>
    </w:p>
    <w:p w:rsidR="00001CFC" w:rsidRPr="008E5836" w:rsidRDefault="00001CFC" w:rsidP="004123F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контрольно-счетной палаты района утверждается решением Думы района.</w:t>
      </w:r>
    </w:p>
    <w:p w:rsidR="004123F3" w:rsidRPr="008E5836" w:rsidRDefault="004123F3" w:rsidP="004123F3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района об отчете контрольно-счетной палаты района, в течение 10 дней с момента принятия, подлежит официальному опубликованию (обнародованию), а также размещению в сети "Интернет" на официальном сайте органов местного самоуправления Ханты-Мансийского района.</w:t>
      </w:r>
    </w:p>
    <w:p w:rsidR="004123F3" w:rsidRPr="008E5836" w:rsidRDefault="004123F3" w:rsidP="004123F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  <w:sectPr w:rsidR="004123F3" w:rsidRPr="008E5836" w:rsidSect="007473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001CFC" w:rsidRPr="008E5836" w:rsidRDefault="0037105E" w:rsidP="0037105E">
      <w:pPr>
        <w:spacing w:after="0" w:line="240" w:lineRule="auto"/>
        <w:ind w:left="9912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Положению об отчетах органов местного самоуправления и должностных лиц местного самоуправления Ханты-Мансийского района</w:t>
      </w:r>
    </w:p>
    <w:p w:rsidR="004123F3" w:rsidRPr="008E5836" w:rsidRDefault="004123F3" w:rsidP="004123F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123F3" w:rsidRPr="008E5836" w:rsidRDefault="004123F3" w:rsidP="004123F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7105E" w:rsidRPr="008E5836" w:rsidRDefault="0037105E" w:rsidP="004123F3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01CFC" w:rsidRPr="008E5836" w:rsidRDefault="00001CFC" w:rsidP="00001CF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E58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Примерная форма отчета о деятельности депутатов Думы района за 20__ год</w:t>
      </w:r>
    </w:p>
    <w:p w:rsidR="00001CFC" w:rsidRPr="008E5836" w:rsidRDefault="00001CFC" w:rsidP="00001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374"/>
        <w:gridCol w:w="685"/>
        <w:gridCol w:w="573"/>
        <w:gridCol w:w="940"/>
        <w:gridCol w:w="985"/>
        <w:gridCol w:w="737"/>
        <w:gridCol w:w="526"/>
        <w:gridCol w:w="520"/>
        <w:gridCol w:w="520"/>
        <w:gridCol w:w="677"/>
        <w:gridCol w:w="1414"/>
        <w:gridCol w:w="1565"/>
        <w:gridCol w:w="1169"/>
        <w:gridCol w:w="961"/>
        <w:gridCol w:w="961"/>
        <w:gridCol w:w="949"/>
      </w:tblGrid>
      <w:tr w:rsidR="00001CFC" w:rsidRPr="008E5836" w:rsidTr="00A9431A">
        <w:trPr>
          <w:cantSplit/>
          <w:trHeight w:val="213"/>
        </w:trPr>
        <w:tc>
          <w:tcPr>
            <w:tcW w:w="182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27" w:type="pct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90" w:type="pct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637" w:type="pct"/>
            <w:gridSpan w:val="2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44" w:type="pct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742" w:type="pct"/>
            <w:gridSpan w:val="4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86" w:type="pct"/>
            <w:gridSpan w:val="2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387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318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318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15" w:type="pct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  <w:t>12</w:t>
            </w:r>
          </w:p>
        </w:tc>
      </w:tr>
      <w:tr w:rsidR="00001CFC" w:rsidRPr="008E5836" w:rsidTr="00A9431A">
        <w:trPr>
          <w:trHeight w:val="1105"/>
        </w:trPr>
        <w:tc>
          <w:tcPr>
            <w:tcW w:w="182" w:type="pct"/>
            <w:vMerge w:val="restart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455" w:type="pct"/>
            <w:vMerge w:val="restart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Ф.И.О.</w:t>
            </w:r>
          </w:p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депутата</w:t>
            </w:r>
          </w:p>
        </w:tc>
        <w:tc>
          <w:tcPr>
            <w:tcW w:w="227" w:type="pct"/>
            <w:vMerge w:val="restart"/>
            <w:textDirection w:val="btLr"/>
          </w:tcPr>
          <w:p w:rsidR="00001CFC" w:rsidRPr="008E5836" w:rsidRDefault="00001CFC" w:rsidP="00A9431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  <w:t>Участие в заседаниях Думы района</w:t>
            </w:r>
          </w:p>
        </w:tc>
        <w:tc>
          <w:tcPr>
            <w:tcW w:w="190" w:type="pct"/>
            <w:vMerge w:val="restart"/>
            <w:textDirection w:val="btLr"/>
          </w:tcPr>
          <w:p w:rsidR="00001CFC" w:rsidRPr="008E5836" w:rsidRDefault="00001CFC" w:rsidP="00A943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  <w:t>Участие в заседаниях комиссии Думы района</w:t>
            </w:r>
          </w:p>
        </w:tc>
        <w:tc>
          <w:tcPr>
            <w:tcW w:w="637" w:type="pct"/>
            <w:gridSpan w:val="2"/>
            <w:vMerge w:val="restart"/>
            <w:textDirection w:val="btLr"/>
            <w:vAlign w:val="center"/>
          </w:tcPr>
          <w:p w:rsidR="00001CFC" w:rsidRPr="008E5836" w:rsidRDefault="00001CFC" w:rsidP="00A943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  <w:t>Выполнение поручений Думы района, комиссии Думы района</w:t>
            </w:r>
          </w:p>
        </w:tc>
        <w:tc>
          <w:tcPr>
            <w:tcW w:w="244" w:type="pct"/>
            <w:vMerge w:val="restart"/>
            <w:textDirection w:val="btLr"/>
          </w:tcPr>
          <w:p w:rsidR="00001CFC" w:rsidRPr="008E5836" w:rsidRDefault="00001CFC" w:rsidP="00A943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  <w:t>Участие в депутатских слушаниях</w:t>
            </w:r>
          </w:p>
        </w:tc>
        <w:tc>
          <w:tcPr>
            <w:tcW w:w="742" w:type="pct"/>
            <w:gridSpan w:val="4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РАБОТА С ИЗБИРАТЕЛЯМИ</w:t>
            </w:r>
          </w:p>
        </w:tc>
        <w:tc>
          <w:tcPr>
            <w:tcW w:w="986" w:type="pct"/>
            <w:gridSpan w:val="2"/>
            <w:vMerge w:val="restart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РАБОТА ПО ДЕПУТАТСКИМ ЗАПРОСАМ, ОБРАЩЕНИЯМ</w:t>
            </w:r>
          </w:p>
        </w:tc>
        <w:tc>
          <w:tcPr>
            <w:tcW w:w="387" w:type="pct"/>
            <w:vMerge w:val="restart"/>
            <w:textDirection w:val="btLr"/>
            <w:vAlign w:val="center"/>
          </w:tcPr>
          <w:p w:rsidR="00001CFC" w:rsidRPr="008E5836" w:rsidRDefault="00001CFC" w:rsidP="00A943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ВЗАИМОДЕЙСТВИЕ С ОРГАНАМИ МЕСТНОГО САМОУПРАВЛЕНИЯ, ГОСУДАРСТВЕННЫМИ ОРГАНАМИ ВЛАСТИ, ДОЛЖНОСТНЫМИ ЛИЦАМИ, ОРГАНИЗАЦИЯМИ, УЧРЕЖДЕНИЯМИ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:rsidR="00001CFC" w:rsidRPr="008E5836" w:rsidRDefault="00001CFC" w:rsidP="00A943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  <w:t>Работа со Средствами Массовой Информации</w:t>
            </w:r>
          </w:p>
        </w:tc>
        <w:tc>
          <w:tcPr>
            <w:tcW w:w="318" w:type="pct"/>
            <w:vMerge w:val="restart"/>
            <w:textDirection w:val="btLr"/>
            <w:vAlign w:val="center"/>
          </w:tcPr>
          <w:p w:rsidR="00001CFC" w:rsidRPr="008E5836" w:rsidRDefault="00001CFC" w:rsidP="00A943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  <w:t>Правотворческая инициатива</w:t>
            </w:r>
          </w:p>
        </w:tc>
        <w:tc>
          <w:tcPr>
            <w:tcW w:w="315" w:type="pct"/>
            <w:vMerge w:val="restart"/>
            <w:textDirection w:val="btLr"/>
          </w:tcPr>
          <w:p w:rsidR="00001CFC" w:rsidRPr="008E5836" w:rsidRDefault="00001CFC" w:rsidP="00A943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caps/>
                <w:sz w:val="18"/>
                <w:szCs w:val="20"/>
                <w:lang w:eastAsia="ru-RU"/>
              </w:rPr>
              <w:t>другие сведения о деятельности депутата</w:t>
            </w:r>
          </w:p>
        </w:tc>
      </w:tr>
      <w:tr w:rsidR="00001CFC" w:rsidRPr="008E5836" w:rsidTr="00A9431A">
        <w:trPr>
          <w:cantSplit/>
          <w:trHeight w:val="1580"/>
        </w:trPr>
        <w:tc>
          <w:tcPr>
            <w:tcW w:w="182" w:type="pct"/>
            <w:vMerge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extDirection w:val="btLr"/>
          </w:tcPr>
          <w:p w:rsidR="00001CFC" w:rsidRPr="008E5836" w:rsidRDefault="00001CFC" w:rsidP="00A9431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extDirection w:val="btLr"/>
          </w:tcPr>
          <w:p w:rsidR="00001CFC" w:rsidRPr="008E5836" w:rsidRDefault="00001CFC" w:rsidP="00A943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gridSpan w:val="2"/>
            <w:vMerge/>
            <w:textDirection w:val="btLr"/>
          </w:tcPr>
          <w:p w:rsidR="00001CFC" w:rsidRPr="008E5836" w:rsidRDefault="00001CFC" w:rsidP="00A943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extDirection w:val="btLr"/>
          </w:tcPr>
          <w:p w:rsidR="00001CFC" w:rsidRPr="008E5836" w:rsidRDefault="00001CFC" w:rsidP="00A943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 w:val="restart"/>
            <w:textDirection w:val="btLr"/>
            <w:vAlign w:val="center"/>
          </w:tcPr>
          <w:p w:rsidR="00001CFC" w:rsidRPr="008E5836" w:rsidRDefault="00001CFC" w:rsidP="00A943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отчетов перед избирателями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001CFC" w:rsidRPr="008E5836" w:rsidRDefault="00001CFC" w:rsidP="00A943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встреч с избирателями</w:t>
            </w:r>
          </w:p>
        </w:tc>
        <w:tc>
          <w:tcPr>
            <w:tcW w:w="172" w:type="pct"/>
            <w:vMerge w:val="restart"/>
            <w:textDirection w:val="btLr"/>
            <w:vAlign w:val="center"/>
          </w:tcPr>
          <w:p w:rsidR="00001CFC" w:rsidRPr="008E5836" w:rsidRDefault="00001CFC" w:rsidP="00A943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граждан по личным вопросам</w:t>
            </w:r>
          </w:p>
        </w:tc>
        <w:tc>
          <w:tcPr>
            <w:tcW w:w="224" w:type="pct"/>
            <w:vMerge w:val="restart"/>
            <w:textDirection w:val="btLr"/>
          </w:tcPr>
          <w:p w:rsidR="00001CFC" w:rsidRPr="008E5836" w:rsidRDefault="00001CFC" w:rsidP="00A943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писем, обращений заявлений граждан</w:t>
            </w:r>
          </w:p>
        </w:tc>
        <w:tc>
          <w:tcPr>
            <w:tcW w:w="986" w:type="pct"/>
            <w:gridSpan w:val="2"/>
            <w:vMerge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01CFC" w:rsidRPr="008E5836" w:rsidTr="00A9431A">
        <w:trPr>
          <w:cantSplit/>
          <w:trHeight w:val="923"/>
        </w:trPr>
        <w:tc>
          <w:tcPr>
            <w:tcW w:w="182" w:type="pct"/>
            <w:vMerge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gridSpan w:val="2"/>
            <w:vMerge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запросов (обращений)</w:t>
            </w:r>
          </w:p>
        </w:tc>
        <w:tc>
          <w:tcPr>
            <w:tcW w:w="518" w:type="pct"/>
            <w:vMerge w:val="restart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 рассмотрено</w:t>
            </w:r>
          </w:p>
        </w:tc>
        <w:tc>
          <w:tcPr>
            <w:tcW w:w="387" w:type="pct"/>
            <w:vMerge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01CFC" w:rsidRPr="008E5836" w:rsidTr="00A9431A">
        <w:tc>
          <w:tcPr>
            <w:tcW w:w="182" w:type="pct"/>
            <w:vMerge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поручений</w:t>
            </w:r>
          </w:p>
        </w:tc>
        <w:tc>
          <w:tcPr>
            <w:tcW w:w="325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Решено</w:t>
            </w:r>
          </w:p>
        </w:tc>
        <w:tc>
          <w:tcPr>
            <w:tcW w:w="244" w:type="pct"/>
            <w:vMerge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Merge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Merge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01CFC" w:rsidRPr="008E5836" w:rsidTr="00A9431A">
        <w:tc>
          <w:tcPr>
            <w:tcW w:w="182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5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</w:tcPr>
          <w:p w:rsidR="00001CFC" w:rsidRPr="008E5836" w:rsidRDefault="00001CFC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01CFC" w:rsidRPr="008E5836" w:rsidTr="00A9431A">
        <w:tc>
          <w:tcPr>
            <w:tcW w:w="182" w:type="pct"/>
            <w:vAlign w:val="center"/>
          </w:tcPr>
          <w:p w:rsidR="00001CFC" w:rsidRPr="008E5836" w:rsidRDefault="0037105E" w:rsidP="00A94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001CFC" w:rsidRPr="008E5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01CFC" w:rsidRPr="008E5836" w:rsidTr="00A9431A">
        <w:tc>
          <w:tcPr>
            <w:tcW w:w="637" w:type="pct"/>
            <w:gridSpan w:val="2"/>
            <w:vAlign w:val="center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5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7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2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</w:tcPr>
          <w:p w:rsidR="00001CFC" w:rsidRPr="008E5836" w:rsidRDefault="00001CFC" w:rsidP="00A94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91352" w:rsidRPr="008E5836" w:rsidRDefault="00391352" w:rsidP="0037105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91352" w:rsidRPr="008E5836" w:rsidSect="0037105E">
          <w:pgSz w:w="16838" w:h="11906" w:orient="landscape" w:code="9"/>
          <w:pgMar w:top="851" w:right="1134" w:bottom="1985" w:left="1134" w:header="709" w:footer="709" w:gutter="0"/>
          <w:cols w:space="708"/>
          <w:docGrid w:linePitch="360"/>
        </w:sectPr>
      </w:pPr>
    </w:p>
    <w:p w:rsidR="00001CFC" w:rsidRPr="008E5836" w:rsidRDefault="00001CFC" w:rsidP="008E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1CFC" w:rsidRPr="008E5836" w:rsidSect="00D30426">
      <w:footerReference w:type="default" r:id="rId15"/>
      <w:footerReference w:type="first" r:id="rId16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1A" w:rsidRDefault="00A9431A" w:rsidP="007473C4">
      <w:pPr>
        <w:spacing w:after="0" w:line="240" w:lineRule="auto"/>
      </w:pPr>
      <w:r>
        <w:separator/>
      </w:r>
    </w:p>
  </w:endnote>
  <w:endnote w:type="continuationSeparator" w:id="0">
    <w:p w:rsidR="00A9431A" w:rsidRDefault="00A9431A" w:rsidP="0074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1A" w:rsidRDefault="00A943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078100"/>
      <w:docPartObj>
        <w:docPartGallery w:val="Page Numbers (Bottom of Page)"/>
        <w:docPartUnique/>
      </w:docPartObj>
    </w:sdtPr>
    <w:sdtContent>
      <w:p w:rsidR="00A9431A" w:rsidRDefault="00A9431A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743B29" wp14:editId="5E0E59C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Calibri Light" w:eastAsia="Times New Roman" w:hAnsi="Calibri Light" w:cs="Times New Roman"/>
                                  <w:sz w:val="48"/>
                                  <w:szCs w:val="48"/>
                                </w:rPr>
                                <w:id w:val="-467824635"/>
                              </w:sdtPr>
                              <w:sdtContent>
                                <w:sdt>
                                  <w:sdtPr>
                                    <w:rPr>
                                      <w:rFonts w:ascii="Calibri Light" w:eastAsia="Times New Roman" w:hAnsi="Calibri Light" w:cs="Times New Roman"/>
                                      <w:sz w:val="48"/>
                                      <w:szCs w:val="48"/>
                                    </w:rPr>
                                    <w:id w:val="1906644429"/>
                                  </w:sdtPr>
                                  <w:sdtContent>
                                    <w:p w:rsidR="00A9431A" w:rsidRPr="00E065F6" w:rsidRDefault="00A9431A">
                                      <w:pPr>
                                        <w:jc w:val="center"/>
                                        <w:rPr>
                                          <w:rFonts w:ascii="Calibri Light" w:eastAsia="Times New Roman" w:hAnsi="Calibri Light" w:cs="Times New Roman"/>
                                          <w:sz w:val="48"/>
                                          <w:szCs w:val="48"/>
                                        </w:rPr>
                                      </w:pP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1b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2GOtW6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="Calibri Light" w:eastAsia="Times New Roman" w:hAnsi="Calibri Light" w:cs="Times New Roman"/>
                            <w:sz w:val="48"/>
                            <w:szCs w:val="48"/>
                          </w:rPr>
                          <w:id w:val="-467824635"/>
                        </w:sdtPr>
                        <w:sdtContent>
                          <w:sdt>
                            <w:sdtPr>
                              <w:rPr>
                                <w:rFonts w:ascii="Calibri Light" w:eastAsia="Times New Roman" w:hAnsi="Calibri Light" w:cs="Times New Roman"/>
                                <w:sz w:val="48"/>
                                <w:szCs w:val="48"/>
                              </w:rPr>
                              <w:id w:val="1906644429"/>
                            </w:sdtPr>
                            <w:sdtContent>
                              <w:p w:rsidR="00A9431A" w:rsidRPr="00E065F6" w:rsidRDefault="00A9431A">
                                <w:pPr>
                                  <w:jc w:val="center"/>
                                  <w:rPr>
                                    <w:rFonts w:ascii="Calibri Light" w:eastAsia="Times New Roman" w:hAnsi="Calibri Light" w:cs="Times New Roman"/>
                                    <w:sz w:val="48"/>
                                    <w:szCs w:val="48"/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1A" w:rsidRDefault="00A9431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49233"/>
      <w:docPartObj>
        <w:docPartGallery w:val="Page Numbers (Bottom of Page)"/>
        <w:docPartUnique/>
      </w:docPartObj>
    </w:sdtPr>
    <w:sdtContent>
      <w:p w:rsidR="00A9431A" w:rsidRDefault="00A9431A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2FD50C6" wp14:editId="7B10B157">
                  <wp:simplePos x="0" y="0"/>
                  <wp:positionH relativeFrom="rightMargin">
                    <wp:posOffset>-450215</wp:posOffset>
                  </wp:positionH>
                  <wp:positionV relativeFrom="bottomMargin">
                    <wp:posOffset>285750</wp:posOffset>
                  </wp:positionV>
                  <wp:extent cx="1172210" cy="544968"/>
                  <wp:effectExtent l="0" t="0" r="8890" b="762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2210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986541360"/>
                              </w:sdt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729813247"/>
                                    <w:showingPlcHdr/>
                                  </w:sdtPr>
                                  <w:sdtContent>
                                    <w:p w:rsidR="00A9431A" w:rsidRDefault="00A9431A" w:rsidP="00D9747B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ect w14:anchorId="72FD50C6" id="_x0000_s1027" style="position:absolute;margin-left:-35.45pt;margin-top:22.5pt;width:92.3pt;height:42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8654136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729813247"/>
                              <w:showingPlcHdr/>
                            </w:sdtPr>
                            <w:sdtEndPr/>
                            <w:sdtContent>
                              <w:p w:rsidR="00391352" w:rsidRDefault="00D30426" w:rsidP="00D9747B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1A" w:rsidRDefault="00A9431A">
    <w:pPr>
      <w:pStyle w:val="a5"/>
      <w:jc w:val="right"/>
    </w:pPr>
  </w:p>
  <w:p w:rsidR="00A9431A" w:rsidRDefault="00A94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1A" w:rsidRDefault="00A9431A" w:rsidP="007473C4">
      <w:pPr>
        <w:spacing w:after="0" w:line="240" w:lineRule="auto"/>
      </w:pPr>
      <w:r>
        <w:separator/>
      </w:r>
    </w:p>
  </w:footnote>
  <w:footnote w:type="continuationSeparator" w:id="0">
    <w:p w:rsidR="00A9431A" w:rsidRDefault="00A9431A" w:rsidP="0074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1A" w:rsidRDefault="00A943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1A" w:rsidRDefault="00A943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1A" w:rsidRDefault="00A943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E5C"/>
    <w:multiLevelType w:val="hybridMultilevel"/>
    <w:tmpl w:val="480A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6CF4"/>
    <w:multiLevelType w:val="hybridMultilevel"/>
    <w:tmpl w:val="DCFE800A"/>
    <w:lvl w:ilvl="0" w:tplc="B5C83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575B"/>
    <w:multiLevelType w:val="hybridMultilevel"/>
    <w:tmpl w:val="60F0600E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7F6D"/>
    <w:multiLevelType w:val="hybridMultilevel"/>
    <w:tmpl w:val="4C72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43F9C"/>
    <w:multiLevelType w:val="hybridMultilevel"/>
    <w:tmpl w:val="4702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714C0"/>
    <w:multiLevelType w:val="hybridMultilevel"/>
    <w:tmpl w:val="A63E45D2"/>
    <w:lvl w:ilvl="0" w:tplc="15F23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672A9"/>
    <w:multiLevelType w:val="hybridMultilevel"/>
    <w:tmpl w:val="2FBC97F4"/>
    <w:lvl w:ilvl="0" w:tplc="CC9E6C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E75691A"/>
    <w:multiLevelType w:val="hybridMultilevel"/>
    <w:tmpl w:val="A08CC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943DA"/>
    <w:multiLevelType w:val="hybridMultilevel"/>
    <w:tmpl w:val="545E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9173A"/>
    <w:multiLevelType w:val="hybridMultilevel"/>
    <w:tmpl w:val="007CDDCA"/>
    <w:lvl w:ilvl="0" w:tplc="2488F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77C4F"/>
    <w:multiLevelType w:val="hybridMultilevel"/>
    <w:tmpl w:val="8DF2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72AAB"/>
    <w:multiLevelType w:val="hybridMultilevel"/>
    <w:tmpl w:val="158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674FC"/>
    <w:multiLevelType w:val="hybridMultilevel"/>
    <w:tmpl w:val="AC269EDE"/>
    <w:lvl w:ilvl="0" w:tplc="CE8EB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FEA1391"/>
    <w:multiLevelType w:val="hybridMultilevel"/>
    <w:tmpl w:val="57EC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92097"/>
    <w:multiLevelType w:val="hybridMultilevel"/>
    <w:tmpl w:val="F864A81A"/>
    <w:lvl w:ilvl="0" w:tplc="8918B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C04FF4"/>
    <w:multiLevelType w:val="hybridMultilevel"/>
    <w:tmpl w:val="0A722AFE"/>
    <w:lvl w:ilvl="0" w:tplc="A6CC5F0E">
      <w:start w:val="1"/>
      <w:numFmt w:val="decimal"/>
      <w:lvlText w:val="Статья %1."/>
      <w:lvlJc w:val="righ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00025BF"/>
    <w:multiLevelType w:val="hybridMultilevel"/>
    <w:tmpl w:val="9232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45B11"/>
    <w:multiLevelType w:val="hybridMultilevel"/>
    <w:tmpl w:val="A17A3752"/>
    <w:lvl w:ilvl="0" w:tplc="C9B47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66D96"/>
    <w:multiLevelType w:val="hybridMultilevel"/>
    <w:tmpl w:val="386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03B95"/>
    <w:multiLevelType w:val="hybridMultilevel"/>
    <w:tmpl w:val="0E7E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F5122"/>
    <w:multiLevelType w:val="hybridMultilevel"/>
    <w:tmpl w:val="F5B8279A"/>
    <w:lvl w:ilvl="0" w:tplc="0F1E4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2C6E47"/>
    <w:multiLevelType w:val="hybridMultilevel"/>
    <w:tmpl w:val="B430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F0CF8"/>
    <w:multiLevelType w:val="hybridMultilevel"/>
    <w:tmpl w:val="583C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7422A"/>
    <w:multiLevelType w:val="hybridMultilevel"/>
    <w:tmpl w:val="853E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67B75"/>
    <w:multiLevelType w:val="hybridMultilevel"/>
    <w:tmpl w:val="03CC0902"/>
    <w:lvl w:ilvl="0" w:tplc="98F2F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61B1A"/>
    <w:multiLevelType w:val="hybridMultilevel"/>
    <w:tmpl w:val="9AE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8"/>
  </w:num>
  <w:num w:numId="5">
    <w:abstractNumId w:val="1"/>
  </w:num>
  <w:num w:numId="6">
    <w:abstractNumId w:val="21"/>
  </w:num>
  <w:num w:numId="7">
    <w:abstractNumId w:val="5"/>
  </w:num>
  <w:num w:numId="8">
    <w:abstractNumId w:val="25"/>
  </w:num>
  <w:num w:numId="9">
    <w:abstractNumId w:val="26"/>
  </w:num>
  <w:num w:numId="10">
    <w:abstractNumId w:val="24"/>
  </w:num>
  <w:num w:numId="11">
    <w:abstractNumId w:val="17"/>
  </w:num>
  <w:num w:numId="12">
    <w:abstractNumId w:val="23"/>
  </w:num>
  <w:num w:numId="13">
    <w:abstractNumId w:val="2"/>
  </w:num>
  <w:num w:numId="14">
    <w:abstractNumId w:val="3"/>
  </w:num>
  <w:num w:numId="15">
    <w:abstractNumId w:val="19"/>
  </w:num>
  <w:num w:numId="16">
    <w:abstractNumId w:val="12"/>
  </w:num>
  <w:num w:numId="17">
    <w:abstractNumId w:val="20"/>
  </w:num>
  <w:num w:numId="18">
    <w:abstractNumId w:val="8"/>
  </w:num>
  <w:num w:numId="19">
    <w:abstractNumId w:val="11"/>
  </w:num>
  <w:num w:numId="20">
    <w:abstractNumId w:val="10"/>
  </w:num>
  <w:num w:numId="21">
    <w:abstractNumId w:val="22"/>
  </w:num>
  <w:num w:numId="22">
    <w:abstractNumId w:val="0"/>
  </w:num>
  <w:num w:numId="23">
    <w:abstractNumId w:val="13"/>
  </w:num>
  <w:num w:numId="24">
    <w:abstractNumId w:val="14"/>
  </w:num>
  <w:num w:numId="25">
    <w:abstractNumId w:val="15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4E"/>
    <w:rsid w:val="00001CFC"/>
    <w:rsid w:val="000F6E3D"/>
    <w:rsid w:val="00102E9A"/>
    <w:rsid w:val="00153469"/>
    <w:rsid w:val="001C4629"/>
    <w:rsid w:val="001D2B18"/>
    <w:rsid w:val="001F6C76"/>
    <w:rsid w:val="002B413C"/>
    <w:rsid w:val="003376EE"/>
    <w:rsid w:val="0037105E"/>
    <w:rsid w:val="00384051"/>
    <w:rsid w:val="00391352"/>
    <w:rsid w:val="003F4663"/>
    <w:rsid w:val="004123F3"/>
    <w:rsid w:val="004B3B00"/>
    <w:rsid w:val="004F1C33"/>
    <w:rsid w:val="0051191E"/>
    <w:rsid w:val="005609DE"/>
    <w:rsid w:val="005A4A49"/>
    <w:rsid w:val="00612C82"/>
    <w:rsid w:val="0062688A"/>
    <w:rsid w:val="0063081A"/>
    <w:rsid w:val="006F5C17"/>
    <w:rsid w:val="0070207C"/>
    <w:rsid w:val="00703A9F"/>
    <w:rsid w:val="007473C4"/>
    <w:rsid w:val="007D019D"/>
    <w:rsid w:val="007F310E"/>
    <w:rsid w:val="00820F99"/>
    <w:rsid w:val="00850CA3"/>
    <w:rsid w:val="00871CF4"/>
    <w:rsid w:val="008E5836"/>
    <w:rsid w:val="008E727F"/>
    <w:rsid w:val="009B6122"/>
    <w:rsid w:val="00A17A90"/>
    <w:rsid w:val="00A354F5"/>
    <w:rsid w:val="00A84C93"/>
    <w:rsid w:val="00A9237D"/>
    <w:rsid w:val="00A9431A"/>
    <w:rsid w:val="00AD124E"/>
    <w:rsid w:val="00B55787"/>
    <w:rsid w:val="00B75D8E"/>
    <w:rsid w:val="00BA2746"/>
    <w:rsid w:val="00C23A09"/>
    <w:rsid w:val="00CD3DB4"/>
    <w:rsid w:val="00CF42FC"/>
    <w:rsid w:val="00D30426"/>
    <w:rsid w:val="00D9747B"/>
    <w:rsid w:val="00DF4DDE"/>
    <w:rsid w:val="00E065F6"/>
    <w:rsid w:val="00E105BF"/>
    <w:rsid w:val="00E3787E"/>
    <w:rsid w:val="00E5348F"/>
    <w:rsid w:val="00F46F4B"/>
    <w:rsid w:val="00F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F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3C4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74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3C4"/>
    <w:rPr>
      <w:rFonts w:eastAsiaTheme="minorHAnsi"/>
      <w:lang w:eastAsia="en-US"/>
    </w:rPr>
  </w:style>
  <w:style w:type="table" w:customStyle="1" w:styleId="11">
    <w:name w:val="Сетка таблицы11"/>
    <w:basedOn w:val="a1"/>
    <w:next w:val="a7"/>
    <w:rsid w:val="0039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9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376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76E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76EE"/>
    <w:rPr>
      <w:rFonts w:eastAsiaTheme="minorHAns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76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76EE"/>
    <w:rPr>
      <w:rFonts w:eastAsiaTheme="minorHAnsi"/>
      <w:b/>
      <w:bCs/>
      <w:sz w:val="20"/>
      <w:szCs w:val="20"/>
      <w:lang w:eastAsia="en-US"/>
    </w:rPr>
  </w:style>
  <w:style w:type="paragraph" w:styleId="ad">
    <w:name w:val="Revision"/>
    <w:hidden/>
    <w:uiPriority w:val="99"/>
    <w:semiHidden/>
    <w:rsid w:val="003376EE"/>
    <w:pPr>
      <w:spacing w:after="0" w:line="240" w:lineRule="auto"/>
    </w:pPr>
    <w:rPr>
      <w:rFonts w:eastAsiaTheme="minorHAns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3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76E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FC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3C4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74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3C4"/>
    <w:rPr>
      <w:rFonts w:eastAsiaTheme="minorHAnsi"/>
      <w:lang w:eastAsia="en-US"/>
    </w:rPr>
  </w:style>
  <w:style w:type="table" w:customStyle="1" w:styleId="11">
    <w:name w:val="Сетка таблицы11"/>
    <w:basedOn w:val="a1"/>
    <w:next w:val="a7"/>
    <w:rsid w:val="0039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9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376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76E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76EE"/>
    <w:rPr>
      <w:rFonts w:eastAsiaTheme="minorHAns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76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76EE"/>
    <w:rPr>
      <w:rFonts w:eastAsiaTheme="minorHAnsi"/>
      <w:b/>
      <w:bCs/>
      <w:sz w:val="20"/>
      <w:szCs w:val="20"/>
      <w:lang w:eastAsia="en-US"/>
    </w:rPr>
  </w:style>
  <w:style w:type="paragraph" w:styleId="ad">
    <w:name w:val="Revision"/>
    <w:hidden/>
    <w:uiPriority w:val="99"/>
    <w:semiHidden/>
    <w:rsid w:val="003376EE"/>
    <w:pPr>
      <w:spacing w:after="0" w:line="240" w:lineRule="auto"/>
    </w:pPr>
    <w:rPr>
      <w:rFonts w:eastAsiaTheme="minorHAns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3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76E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tnik_ds\Desktop\&#1096;&#1072;&#1073;&#1083;&#1086;&#1085;%20&#1087;&#1088;&#1086;&#1077;&#1082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94C6-B6C0-45E9-BD38-FECDB6AC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проекта</Template>
  <TotalTime>119</TotalTime>
  <Pages>11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Д.С.</dc:creator>
  <cp:lastModifiedBy>Прессекретарь</cp:lastModifiedBy>
  <cp:revision>7</cp:revision>
  <cp:lastPrinted>2016-12-23T08:48:00Z</cp:lastPrinted>
  <dcterms:created xsi:type="dcterms:W3CDTF">2016-12-23T08:43:00Z</dcterms:created>
  <dcterms:modified xsi:type="dcterms:W3CDTF">2016-12-29T09:37:00Z</dcterms:modified>
</cp:coreProperties>
</file>